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046" w:rsidRPr="007E6F9E" w:rsidRDefault="00300046" w:rsidP="00300046">
      <w:pPr>
        <w:jc w:val="center"/>
        <w:rPr>
          <w:rFonts w:ascii="Century" w:eastAsia="Adobe Ming Std L" w:hAnsi="Century"/>
          <w:b/>
          <w:sz w:val="48"/>
          <w:szCs w:val="48"/>
        </w:rPr>
      </w:pPr>
    </w:p>
    <w:p w:rsidR="00300046" w:rsidRPr="007E6F9E" w:rsidRDefault="00300046" w:rsidP="00300046">
      <w:pPr>
        <w:jc w:val="center"/>
        <w:rPr>
          <w:rFonts w:ascii="Century" w:eastAsia="Adobe Ming Std L" w:hAnsi="Century"/>
          <w:b/>
          <w:sz w:val="48"/>
          <w:szCs w:val="48"/>
        </w:rPr>
      </w:pPr>
      <w:r w:rsidRPr="007E6F9E">
        <w:rPr>
          <w:rFonts w:ascii="Century" w:eastAsia="Adobe Ming Std L" w:hAnsi="Century"/>
          <w:b/>
          <w:noProof/>
          <w:sz w:val="48"/>
          <w:szCs w:val="48"/>
          <w:lang w:eastAsia="en-AU"/>
        </w:rPr>
        <w:drawing>
          <wp:inline distT="0" distB="0" distL="0" distR="0" wp14:anchorId="5524C689" wp14:editId="7EE16ACE">
            <wp:extent cx="1438275" cy="17302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s crest.bmp"/>
                    <pic:cNvPicPr/>
                  </pic:nvPicPr>
                  <pic:blipFill>
                    <a:blip r:embed="rId8">
                      <a:extLst>
                        <a:ext uri="{28A0092B-C50C-407E-A947-70E740481C1C}">
                          <a14:useLocalDpi xmlns:a14="http://schemas.microsoft.com/office/drawing/2010/main" val="0"/>
                        </a:ext>
                      </a:extLst>
                    </a:blip>
                    <a:stretch>
                      <a:fillRect/>
                    </a:stretch>
                  </pic:blipFill>
                  <pic:spPr>
                    <a:xfrm>
                      <a:off x="0" y="0"/>
                      <a:ext cx="1438096" cy="1730040"/>
                    </a:xfrm>
                    <a:prstGeom prst="rect">
                      <a:avLst/>
                    </a:prstGeom>
                  </pic:spPr>
                </pic:pic>
              </a:graphicData>
            </a:graphic>
          </wp:inline>
        </w:drawing>
      </w:r>
    </w:p>
    <w:p w:rsidR="00300046" w:rsidRPr="007E6F9E" w:rsidRDefault="00300046" w:rsidP="00300046">
      <w:pPr>
        <w:jc w:val="center"/>
        <w:rPr>
          <w:rFonts w:ascii="Century" w:eastAsia="Adobe Ming Std L" w:hAnsi="Century"/>
          <w:b/>
          <w:sz w:val="48"/>
          <w:szCs w:val="48"/>
        </w:rPr>
      </w:pPr>
    </w:p>
    <w:p w:rsidR="00724B9E" w:rsidRPr="007E6F9E" w:rsidRDefault="00724B9E" w:rsidP="00300046">
      <w:pPr>
        <w:jc w:val="center"/>
        <w:rPr>
          <w:rFonts w:ascii="Century" w:eastAsia="Adobe Ming Std L" w:hAnsi="Century"/>
          <w:b/>
          <w:sz w:val="48"/>
          <w:szCs w:val="48"/>
        </w:rPr>
      </w:pPr>
      <w:r w:rsidRPr="007E6F9E">
        <w:rPr>
          <w:rFonts w:ascii="Century" w:eastAsia="Adobe Ming Std L" w:hAnsi="Century"/>
          <w:b/>
          <w:sz w:val="48"/>
          <w:szCs w:val="48"/>
        </w:rPr>
        <w:t>Kotara High School</w:t>
      </w:r>
    </w:p>
    <w:p w:rsidR="00724B9E" w:rsidRPr="007E6F9E" w:rsidRDefault="00724B9E" w:rsidP="00300046">
      <w:pPr>
        <w:jc w:val="center"/>
        <w:rPr>
          <w:rFonts w:ascii="Century" w:eastAsia="Adobe Ming Std L" w:hAnsi="Century"/>
          <w:b/>
          <w:sz w:val="48"/>
          <w:szCs w:val="48"/>
        </w:rPr>
      </w:pPr>
      <w:r w:rsidRPr="007E6F9E">
        <w:rPr>
          <w:rFonts w:ascii="Century" w:eastAsia="Adobe Ming Std L" w:hAnsi="Century"/>
          <w:b/>
          <w:sz w:val="48"/>
          <w:szCs w:val="48"/>
        </w:rPr>
        <w:t>Numeracy Policy</w:t>
      </w:r>
    </w:p>
    <w:p w:rsidR="00724B9E" w:rsidRPr="007E6F9E" w:rsidRDefault="00724B9E" w:rsidP="00300046">
      <w:pPr>
        <w:jc w:val="center"/>
        <w:rPr>
          <w:rFonts w:ascii="Century" w:eastAsia="Adobe Ming Std L" w:hAnsi="Century" w:cs="Times New Roman"/>
          <w:sz w:val="36"/>
          <w:szCs w:val="36"/>
        </w:rPr>
      </w:pPr>
      <w:r w:rsidRPr="007E6F9E">
        <w:rPr>
          <w:rFonts w:ascii="Century" w:eastAsia="Adobe Ming Std L" w:hAnsi="Century" w:cs="Times New Roman"/>
          <w:sz w:val="36"/>
          <w:szCs w:val="36"/>
        </w:rPr>
        <w:t>A whole school approach</w:t>
      </w:r>
    </w:p>
    <w:p w:rsidR="00300046" w:rsidRPr="007E6F9E" w:rsidRDefault="00300046" w:rsidP="00300046">
      <w:pPr>
        <w:jc w:val="center"/>
        <w:rPr>
          <w:rFonts w:ascii="Century" w:eastAsia="Adobe Ming Std L" w:hAnsi="Century"/>
          <w:sz w:val="36"/>
          <w:szCs w:val="36"/>
        </w:rPr>
      </w:pPr>
    </w:p>
    <w:p w:rsidR="00300046" w:rsidRPr="007E6F9E" w:rsidRDefault="00300046" w:rsidP="00300046">
      <w:pPr>
        <w:jc w:val="center"/>
        <w:rPr>
          <w:rFonts w:ascii="Century" w:eastAsia="Adobe Ming Std L" w:hAnsi="Century"/>
          <w:sz w:val="36"/>
          <w:szCs w:val="36"/>
        </w:rPr>
      </w:pPr>
    </w:p>
    <w:p w:rsidR="00300046" w:rsidRPr="007E6F9E" w:rsidRDefault="004802AA" w:rsidP="004802AA">
      <w:pPr>
        <w:jc w:val="center"/>
        <w:rPr>
          <w:rFonts w:ascii="Century" w:eastAsia="Adobe Ming Std L" w:hAnsi="Century"/>
          <w:sz w:val="36"/>
          <w:szCs w:val="36"/>
        </w:rPr>
      </w:pPr>
      <w:r w:rsidRPr="007E6F9E">
        <w:rPr>
          <w:rFonts w:ascii="Century" w:eastAsia="Adobe Ming Std L" w:hAnsi="Century"/>
          <w:noProof/>
          <w:sz w:val="36"/>
          <w:szCs w:val="36"/>
          <w:lang w:eastAsia="en-AU"/>
        </w:rPr>
        <w:drawing>
          <wp:inline distT="0" distB="0" distL="0" distR="0" wp14:anchorId="28CB5666" wp14:editId="1BBE60BF">
            <wp:extent cx="1133475" cy="1762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watch.jpg"/>
                    <pic:cNvPicPr/>
                  </pic:nvPicPr>
                  <pic:blipFill>
                    <a:blip r:embed="rId9">
                      <a:extLst>
                        <a:ext uri="{28A0092B-C50C-407E-A947-70E740481C1C}">
                          <a14:useLocalDpi xmlns:a14="http://schemas.microsoft.com/office/drawing/2010/main" val="0"/>
                        </a:ext>
                      </a:extLst>
                    </a:blip>
                    <a:stretch>
                      <a:fillRect/>
                    </a:stretch>
                  </pic:blipFill>
                  <pic:spPr>
                    <a:xfrm>
                      <a:off x="0" y="0"/>
                      <a:ext cx="1133475" cy="1762125"/>
                    </a:xfrm>
                    <a:prstGeom prst="rect">
                      <a:avLst/>
                    </a:prstGeom>
                  </pic:spPr>
                </pic:pic>
              </a:graphicData>
            </a:graphic>
          </wp:inline>
        </w:drawing>
      </w:r>
      <w:r w:rsidRPr="007E6F9E">
        <w:rPr>
          <w:rFonts w:ascii="Century" w:eastAsia="Adobe Ming Std L" w:hAnsi="Century"/>
          <w:noProof/>
          <w:sz w:val="36"/>
          <w:szCs w:val="36"/>
          <w:lang w:eastAsia="en-AU"/>
        </w:rPr>
        <w:drawing>
          <wp:inline distT="0" distB="0" distL="0" distR="0" wp14:anchorId="7192431F" wp14:editId="1325DDE5">
            <wp:extent cx="1133475" cy="1771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dT.jpg"/>
                    <pic:cNvPicPr/>
                  </pic:nvPicPr>
                  <pic:blipFill>
                    <a:blip r:embed="rId10">
                      <a:extLst>
                        <a:ext uri="{28A0092B-C50C-407E-A947-70E740481C1C}">
                          <a14:useLocalDpi xmlns:a14="http://schemas.microsoft.com/office/drawing/2010/main" val="0"/>
                        </a:ext>
                      </a:extLst>
                    </a:blip>
                    <a:stretch>
                      <a:fillRect/>
                    </a:stretch>
                  </pic:blipFill>
                  <pic:spPr>
                    <a:xfrm>
                      <a:off x="0" y="0"/>
                      <a:ext cx="1133475" cy="1771650"/>
                    </a:xfrm>
                    <a:prstGeom prst="rect">
                      <a:avLst/>
                    </a:prstGeom>
                  </pic:spPr>
                </pic:pic>
              </a:graphicData>
            </a:graphic>
          </wp:inline>
        </w:drawing>
      </w:r>
      <w:r w:rsidR="00C920F2" w:rsidRPr="007E6F9E">
        <w:rPr>
          <w:rFonts w:ascii="Century" w:eastAsia="Adobe Ming Std L" w:hAnsi="Century"/>
          <w:noProof/>
          <w:sz w:val="36"/>
          <w:szCs w:val="36"/>
          <w:lang w:eastAsia="en-AU"/>
        </w:rPr>
        <w:drawing>
          <wp:inline distT="0" distB="0" distL="0" distR="0" wp14:anchorId="2EBE67BE" wp14:editId="599EBDC9">
            <wp:extent cx="1200150" cy="1771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jpg"/>
                    <pic:cNvPicPr/>
                  </pic:nvPicPr>
                  <pic:blipFill>
                    <a:blip r:embed="rId11">
                      <a:extLst>
                        <a:ext uri="{28A0092B-C50C-407E-A947-70E740481C1C}">
                          <a14:useLocalDpi xmlns:a14="http://schemas.microsoft.com/office/drawing/2010/main" val="0"/>
                        </a:ext>
                      </a:extLst>
                    </a:blip>
                    <a:stretch>
                      <a:fillRect/>
                    </a:stretch>
                  </pic:blipFill>
                  <pic:spPr>
                    <a:xfrm>
                      <a:off x="0" y="0"/>
                      <a:ext cx="1200150" cy="1771650"/>
                    </a:xfrm>
                    <a:prstGeom prst="rect">
                      <a:avLst/>
                    </a:prstGeom>
                  </pic:spPr>
                </pic:pic>
              </a:graphicData>
            </a:graphic>
          </wp:inline>
        </w:drawing>
      </w:r>
      <w:r w:rsidRPr="007E6F9E">
        <w:rPr>
          <w:rFonts w:ascii="Century" w:eastAsia="Adobe Ming Std L" w:hAnsi="Century"/>
          <w:noProof/>
          <w:sz w:val="36"/>
          <w:szCs w:val="36"/>
          <w:lang w:eastAsia="en-AU"/>
        </w:rPr>
        <w:drawing>
          <wp:inline distT="0" distB="0" distL="0" distR="0" wp14:anchorId="39E3B916" wp14:editId="70405E80">
            <wp:extent cx="1171575" cy="17621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jpg"/>
                    <pic:cNvPicPr/>
                  </pic:nvPicPr>
                  <pic:blipFill>
                    <a:blip r:embed="rId12">
                      <a:extLst>
                        <a:ext uri="{28A0092B-C50C-407E-A947-70E740481C1C}">
                          <a14:useLocalDpi xmlns:a14="http://schemas.microsoft.com/office/drawing/2010/main" val="0"/>
                        </a:ext>
                      </a:extLst>
                    </a:blip>
                    <a:stretch>
                      <a:fillRect/>
                    </a:stretch>
                  </pic:blipFill>
                  <pic:spPr>
                    <a:xfrm>
                      <a:off x="0" y="0"/>
                      <a:ext cx="1171575" cy="1762125"/>
                    </a:xfrm>
                    <a:prstGeom prst="rect">
                      <a:avLst/>
                    </a:prstGeom>
                  </pic:spPr>
                </pic:pic>
              </a:graphicData>
            </a:graphic>
          </wp:inline>
        </w:drawing>
      </w:r>
    </w:p>
    <w:p w:rsidR="00300046" w:rsidRPr="007E6F9E" w:rsidRDefault="00300046" w:rsidP="00300046">
      <w:pPr>
        <w:jc w:val="center"/>
        <w:rPr>
          <w:rFonts w:ascii="Century" w:eastAsia="Adobe Ming Std L" w:hAnsi="Century"/>
          <w:sz w:val="36"/>
          <w:szCs w:val="36"/>
        </w:rPr>
      </w:pPr>
    </w:p>
    <w:p w:rsidR="00300046" w:rsidRPr="007E6F9E" w:rsidRDefault="00300046" w:rsidP="00300046">
      <w:pPr>
        <w:jc w:val="center"/>
        <w:rPr>
          <w:rFonts w:ascii="Century" w:eastAsia="Adobe Ming Std L" w:hAnsi="Century"/>
          <w:sz w:val="36"/>
          <w:szCs w:val="36"/>
        </w:rPr>
      </w:pPr>
    </w:p>
    <w:p w:rsidR="007E6F9E" w:rsidRDefault="007E6F9E" w:rsidP="004802AA">
      <w:pPr>
        <w:jc w:val="right"/>
        <w:rPr>
          <w:rFonts w:ascii="Century" w:eastAsia="Adobe Ming Std L" w:hAnsi="Century"/>
        </w:rPr>
      </w:pPr>
    </w:p>
    <w:p w:rsidR="00300046" w:rsidRPr="007E6F9E" w:rsidRDefault="00DD12C2" w:rsidP="004802AA">
      <w:pPr>
        <w:jc w:val="right"/>
        <w:rPr>
          <w:rFonts w:ascii="Century" w:eastAsia="Adobe Ming Std L" w:hAnsi="Century"/>
        </w:rPr>
      </w:pPr>
      <w:r w:rsidRPr="007E6F9E">
        <w:rPr>
          <w:rFonts w:ascii="Century" w:eastAsia="Adobe Ming Std L" w:hAnsi="Century"/>
        </w:rPr>
        <w:t xml:space="preserve">A focus for the </w:t>
      </w:r>
      <w:r w:rsidR="00300046" w:rsidRPr="007E6F9E">
        <w:rPr>
          <w:rFonts w:ascii="Century" w:eastAsia="Adobe Ming Std L" w:hAnsi="Century"/>
        </w:rPr>
        <w:t>National Partnership on Improving Literacy and Numeracy</w:t>
      </w:r>
    </w:p>
    <w:p w:rsidR="00724B9E" w:rsidRPr="007E6F9E" w:rsidRDefault="00724B9E">
      <w:pPr>
        <w:rPr>
          <w:rFonts w:ascii="Century" w:hAnsi="Century"/>
          <w:b/>
          <w:sz w:val="24"/>
          <w:szCs w:val="24"/>
        </w:rPr>
      </w:pPr>
      <w:r w:rsidRPr="007E6F9E">
        <w:rPr>
          <w:rFonts w:ascii="Century" w:hAnsi="Century"/>
          <w:b/>
          <w:sz w:val="24"/>
          <w:szCs w:val="24"/>
        </w:rPr>
        <w:lastRenderedPageBreak/>
        <w:t>Rationale</w:t>
      </w:r>
    </w:p>
    <w:p w:rsidR="00C920F2" w:rsidRPr="007E6F9E" w:rsidRDefault="00C74960">
      <w:pPr>
        <w:rPr>
          <w:rFonts w:ascii="Century" w:hAnsi="Century"/>
          <w:sz w:val="24"/>
          <w:szCs w:val="24"/>
        </w:rPr>
      </w:pPr>
      <w:r w:rsidRPr="007E6F9E">
        <w:rPr>
          <w:rFonts w:ascii="Century" w:hAnsi="Century"/>
          <w:sz w:val="24"/>
          <w:szCs w:val="24"/>
        </w:rPr>
        <w:t xml:space="preserve">Kotara High School is a comprehensive co-educational high school in the Hunter region. The school is devoted to providing students with a safe, supportive environment, where all students have the opportunity to become successful learners. Kotara High school promotes equity and excellence within the learning environment, where all students are respected and valued irrespective of their differences. </w:t>
      </w:r>
    </w:p>
    <w:p w:rsidR="00F4555C" w:rsidRPr="007E6F9E" w:rsidRDefault="00F4555C">
      <w:pPr>
        <w:rPr>
          <w:rFonts w:ascii="Century" w:hAnsi="Century"/>
          <w:sz w:val="24"/>
          <w:szCs w:val="24"/>
        </w:rPr>
      </w:pPr>
    </w:p>
    <w:p w:rsidR="00F4555C" w:rsidRPr="007E6F9E" w:rsidRDefault="00F4555C">
      <w:pPr>
        <w:rPr>
          <w:rFonts w:ascii="Century" w:hAnsi="Century"/>
          <w:sz w:val="24"/>
          <w:szCs w:val="24"/>
        </w:rPr>
      </w:pPr>
    </w:p>
    <w:p w:rsidR="00724B9E" w:rsidRPr="007E6F9E" w:rsidRDefault="00724B9E">
      <w:pPr>
        <w:rPr>
          <w:rFonts w:ascii="Century" w:hAnsi="Century"/>
          <w:b/>
          <w:sz w:val="24"/>
          <w:szCs w:val="24"/>
        </w:rPr>
      </w:pPr>
      <w:r w:rsidRPr="007E6F9E">
        <w:rPr>
          <w:rFonts w:ascii="Century" w:hAnsi="Century"/>
          <w:b/>
          <w:sz w:val="24"/>
          <w:szCs w:val="24"/>
        </w:rPr>
        <w:t>Policy</w:t>
      </w:r>
    </w:p>
    <w:p w:rsidR="00254225" w:rsidRPr="007E6F9E" w:rsidRDefault="00254225">
      <w:pPr>
        <w:rPr>
          <w:rFonts w:ascii="Century" w:hAnsi="Century"/>
          <w:sz w:val="28"/>
          <w:szCs w:val="28"/>
        </w:rPr>
      </w:pPr>
      <w:r w:rsidRPr="007E6F9E">
        <w:rPr>
          <w:rFonts w:ascii="Century" w:hAnsi="Century"/>
          <w:sz w:val="28"/>
          <w:szCs w:val="28"/>
        </w:rPr>
        <w:t>To be numerate is to use mathematical ideas effectively to participate in daily life and make sense of the world. It incorporates the use of numerical, spatial, graphical, statistical and algebraic concepts and skills in a variety of contexts and involves the critical evaluation, interpretation, application and communication of mathematical information in a range of practical situations.</w:t>
      </w:r>
    </w:p>
    <w:p w:rsidR="00F4555C" w:rsidRPr="007E6F9E" w:rsidRDefault="00F4555C">
      <w:pPr>
        <w:rPr>
          <w:rFonts w:ascii="Century" w:hAnsi="Century"/>
          <w:sz w:val="28"/>
          <w:szCs w:val="28"/>
        </w:rPr>
      </w:pPr>
    </w:p>
    <w:p w:rsidR="00724B9E" w:rsidRPr="007E6F9E" w:rsidRDefault="00724B9E">
      <w:pPr>
        <w:rPr>
          <w:rFonts w:ascii="Century" w:hAnsi="Century"/>
          <w:b/>
          <w:sz w:val="24"/>
          <w:szCs w:val="24"/>
        </w:rPr>
      </w:pPr>
      <w:r w:rsidRPr="007E6F9E">
        <w:rPr>
          <w:rFonts w:ascii="Century" w:hAnsi="Century"/>
          <w:b/>
          <w:sz w:val="24"/>
          <w:szCs w:val="24"/>
        </w:rPr>
        <w:t>Teacher Knowledge and Pedagogy</w:t>
      </w:r>
    </w:p>
    <w:p w:rsidR="00254225" w:rsidRPr="007E6F9E" w:rsidRDefault="00254225" w:rsidP="00254225">
      <w:pPr>
        <w:rPr>
          <w:rFonts w:ascii="Century" w:hAnsi="Century"/>
          <w:sz w:val="24"/>
          <w:szCs w:val="24"/>
        </w:rPr>
      </w:pPr>
      <w:r w:rsidRPr="007E6F9E">
        <w:rPr>
          <w:rFonts w:ascii="Century" w:hAnsi="Century"/>
          <w:sz w:val="24"/>
          <w:szCs w:val="24"/>
        </w:rPr>
        <w:t>All teachers in NSW government schools will develop students' numeracy skills and understandings across all Key Learning Areas.</w:t>
      </w:r>
    </w:p>
    <w:p w:rsidR="00254225" w:rsidRPr="007E6F9E" w:rsidRDefault="00254225" w:rsidP="00254225">
      <w:pPr>
        <w:rPr>
          <w:rFonts w:ascii="Century" w:hAnsi="Century"/>
          <w:sz w:val="24"/>
          <w:szCs w:val="24"/>
        </w:rPr>
      </w:pPr>
      <w:r w:rsidRPr="007E6F9E">
        <w:rPr>
          <w:rFonts w:ascii="Century" w:hAnsi="Century"/>
          <w:sz w:val="24"/>
          <w:szCs w:val="24"/>
        </w:rPr>
        <w:t>Teachers will identify and support the specific numeracy demands of the Key Learning Areas leading to knowledge, skills and understandings in:</w:t>
      </w:r>
    </w:p>
    <w:p w:rsidR="00254225"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r>
      <w:proofErr w:type="gramStart"/>
      <w:r w:rsidRPr="007E6F9E">
        <w:rPr>
          <w:rFonts w:ascii="Century" w:hAnsi="Century"/>
          <w:sz w:val="24"/>
          <w:szCs w:val="24"/>
        </w:rPr>
        <w:t>mental</w:t>
      </w:r>
      <w:proofErr w:type="gramEnd"/>
      <w:r w:rsidRPr="007E6F9E">
        <w:rPr>
          <w:rFonts w:ascii="Century" w:hAnsi="Century"/>
          <w:sz w:val="24"/>
          <w:szCs w:val="24"/>
        </w:rPr>
        <w:t xml:space="preserve"> computation and numerical reasoning</w:t>
      </w:r>
    </w:p>
    <w:p w:rsidR="00254225"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r>
      <w:proofErr w:type="gramStart"/>
      <w:r w:rsidRPr="007E6F9E">
        <w:rPr>
          <w:rFonts w:ascii="Century" w:hAnsi="Century"/>
          <w:sz w:val="24"/>
          <w:szCs w:val="24"/>
        </w:rPr>
        <w:t>patterning</w:t>
      </w:r>
      <w:proofErr w:type="gramEnd"/>
      <w:r w:rsidRPr="007E6F9E">
        <w:rPr>
          <w:rFonts w:ascii="Century" w:hAnsi="Century"/>
          <w:sz w:val="24"/>
          <w:szCs w:val="24"/>
        </w:rPr>
        <w:t>, generalisation and algebraic reasoning</w:t>
      </w:r>
    </w:p>
    <w:p w:rsidR="00254225"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t>applying measurement strategies</w:t>
      </w:r>
    </w:p>
    <w:p w:rsidR="00254225"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r>
      <w:proofErr w:type="gramStart"/>
      <w:r w:rsidRPr="007E6F9E">
        <w:rPr>
          <w:rFonts w:ascii="Century" w:hAnsi="Century"/>
          <w:sz w:val="24"/>
          <w:szCs w:val="24"/>
        </w:rPr>
        <w:t>spatial</w:t>
      </w:r>
      <w:proofErr w:type="gramEnd"/>
      <w:r w:rsidRPr="007E6F9E">
        <w:rPr>
          <w:rFonts w:ascii="Century" w:hAnsi="Century"/>
          <w:sz w:val="24"/>
          <w:szCs w:val="24"/>
        </w:rPr>
        <w:t xml:space="preserve"> visualisation and geometric reasoning</w:t>
      </w:r>
    </w:p>
    <w:p w:rsidR="00254225"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r>
      <w:proofErr w:type="gramStart"/>
      <w:r w:rsidRPr="007E6F9E">
        <w:rPr>
          <w:rFonts w:ascii="Century" w:hAnsi="Century"/>
          <w:sz w:val="24"/>
          <w:szCs w:val="24"/>
        </w:rPr>
        <w:t>data</w:t>
      </w:r>
      <w:proofErr w:type="gramEnd"/>
      <w:r w:rsidRPr="007E6F9E">
        <w:rPr>
          <w:rFonts w:ascii="Century" w:hAnsi="Century"/>
          <w:sz w:val="24"/>
          <w:szCs w:val="24"/>
        </w:rPr>
        <w:t xml:space="preserve"> analysis, including tables</w:t>
      </w:r>
    </w:p>
    <w:p w:rsidR="00724B9E" w:rsidRPr="007E6F9E" w:rsidRDefault="00254225" w:rsidP="00254225">
      <w:pPr>
        <w:rPr>
          <w:rFonts w:ascii="Century" w:hAnsi="Century"/>
          <w:sz w:val="24"/>
          <w:szCs w:val="24"/>
        </w:rPr>
      </w:pPr>
      <w:r w:rsidRPr="007E6F9E">
        <w:rPr>
          <w:rFonts w:ascii="Century" w:hAnsi="Century"/>
          <w:sz w:val="24"/>
          <w:szCs w:val="24"/>
        </w:rPr>
        <w:t>•</w:t>
      </w:r>
      <w:r w:rsidRPr="007E6F9E">
        <w:rPr>
          <w:rFonts w:ascii="Century" w:hAnsi="Century"/>
          <w:sz w:val="24"/>
          <w:szCs w:val="24"/>
        </w:rPr>
        <w:tab/>
      </w:r>
      <w:proofErr w:type="gramStart"/>
      <w:r w:rsidRPr="007E6F9E">
        <w:rPr>
          <w:rFonts w:ascii="Century" w:hAnsi="Century"/>
          <w:sz w:val="24"/>
          <w:szCs w:val="24"/>
        </w:rPr>
        <w:t>graphical</w:t>
      </w:r>
      <w:proofErr w:type="gramEnd"/>
      <w:r w:rsidRPr="007E6F9E">
        <w:rPr>
          <w:rFonts w:ascii="Century" w:hAnsi="Century"/>
          <w:sz w:val="24"/>
          <w:szCs w:val="24"/>
        </w:rPr>
        <w:t xml:space="preserve"> representation and analysis.</w:t>
      </w:r>
    </w:p>
    <w:p w:rsidR="00254290" w:rsidRPr="007E6F9E" w:rsidRDefault="00254290" w:rsidP="00254225">
      <w:pPr>
        <w:rPr>
          <w:rFonts w:ascii="Century" w:hAnsi="Century"/>
          <w:sz w:val="24"/>
          <w:szCs w:val="24"/>
        </w:rPr>
      </w:pPr>
    </w:p>
    <w:p w:rsidR="00F4555C" w:rsidRPr="007E6F9E" w:rsidRDefault="00F4555C" w:rsidP="00254225">
      <w:pPr>
        <w:rPr>
          <w:rFonts w:ascii="Century" w:hAnsi="Century"/>
          <w:sz w:val="24"/>
          <w:szCs w:val="24"/>
        </w:rPr>
      </w:pPr>
    </w:p>
    <w:p w:rsidR="00254290" w:rsidRPr="007E6F9E" w:rsidRDefault="00254290" w:rsidP="00254290">
      <w:pPr>
        <w:rPr>
          <w:rFonts w:ascii="Century" w:hAnsi="Century"/>
          <w:b/>
          <w:sz w:val="24"/>
          <w:szCs w:val="24"/>
        </w:rPr>
      </w:pPr>
      <w:r w:rsidRPr="007E6F9E">
        <w:rPr>
          <w:rFonts w:ascii="Century" w:hAnsi="Century"/>
          <w:b/>
          <w:sz w:val="24"/>
          <w:szCs w:val="24"/>
        </w:rPr>
        <w:lastRenderedPageBreak/>
        <w:t>Vision</w:t>
      </w:r>
    </w:p>
    <w:p w:rsidR="00F4555C" w:rsidRPr="007E6F9E" w:rsidRDefault="007C0F28" w:rsidP="007C0F28">
      <w:pPr>
        <w:pStyle w:val="ListParagraph"/>
        <w:numPr>
          <w:ilvl w:val="0"/>
          <w:numId w:val="2"/>
        </w:numPr>
        <w:spacing w:line="240" w:lineRule="auto"/>
        <w:rPr>
          <w:rFonts w:ascii="Century" w:hAnsi="Century"/>
          <w:sz w:val="24"/>
          <w:szCs w:val="24"/>
        </w:rPr>
      </w:pPr>
      <w:proofErr w:type="gramStart"/>
      <w:r w:rsidRPr="007E6F9E">
        <w:rPr>
          <w:rFonts w:ascii="Century" w:hAnsi="Century"/>
          <w:sz w:val="24"/>
          <w:szCs w:val="24"/>
        </w:rPr>
        <w:t>Staff</w:t>
      </w:r>
      <w:proofErr w:type="gramEnd"/>
      <w:r w:rsidRPr="007E6F9E">
        <w:rPr>
          <w:rFonts w:ascii="Century" w:hAnsi="Century"/>
          <w:sz w:val="24"/>
          <w:szCs w:val="24"/>
        </w:rPr>
        <w:t xml:space="preserve"> has</w:t>
      </w:r>
      <w:r w:rsidR="00F4555C" w:rsidRPr="007E6F9E">
        <w:rPr>
          <w:rFonts w:ascii="Century" w:hAnsi="Century"/>
          <w:sz w:val="24"/>
          <w:szCs w:val="24"/>
        </w:rPr>
        <w:t xml:space="preserve"> a common understanding of what numeracy is and its importance in the real world. Each faculty identifies where numeracy exists within their teaching areas.</w:t>
      </w:r>
    </w:p>
    <w:p w:rsidR="007C0F28" w:rsidRPr="007E6F9E" w:rsidRDefault="007C0F28" w:rsidP="007C0F28">
      <w:pPr>
        <w:pStyle w:val="ListParagraph"/>
        <w:spacing w:line="240" w:lineRule="auto"/>
        <w:rPr>
          <w:rFonts w:ascii="Century" w:hAnsi="Century"/>
          <w:sz w:val="24"/>
          <w:szCs w:val="24"/>
        </w:rPr>
      </w:pPr>
    </w:p>
    <w:p w:rsidR="007C0F28" w:rsidRPr="007E6F9E" w:rsidRDefault="00254290" w:rsidP="007C0F28">
      <w:pPr>
        <w:pStyle w:val="ListParagraph"/>
        <w:numPr>
          <w:ilvl w:val="0"/>
          <w:numId w:val="2"/>
        </w:numPr>
        <w:spacing w:line="240" w:lineRule="auto"/>
        <w:rPr>
          <w:rFonts w:ascii="Century" w:hAnsi="Century"/>
          <w:sz w:val="24"/>
          <w:szCs w:val="24"/>
        </w:rPr>
      </w:pPr>
      <w:r w:rsidRPr="007E6F9E">
        <w:rPr>
          <w:rFonts w:ascii="Century" w:hAnsi="Century"/>
          <w:sz w:val="24"/>
          <w:szCs w:val="24"/>
        </w:rPr>
        <w:t>Each faculty identifies where numeracy exists within their teaching areas.</w:t>
      </w:r>
    </w:p>
    <w:p w:rsidR="007C0F28" w:rsidRPr="007E6F9E" w:rsidRDefault="007C0F28" w:rsidP="007C0F28">
      <w:pPr>
        <w:pStyle w:val="ListParagraph"/>
        <w:spacing w:line="240" w:lineRule="auto"/>
        <w:rPr>
          <w:rFonts w:ascii="Century" w:hAnsi="Century"/>
          <w:sz w:val="24"/>
          <w:szCs w:val="24"/>
        </w:rPr>
      </w:pPr>
    </w:p>
    <w:p w:rsidR="007C0F28" w:rsidRPr="007E6F9E" w:rsidRDefault="007C0F28" w:rsidP="007C0F28">
      <w:pPr>
        <w:pStyle w:val="ListParagraph"/>
        <w:numPr>
          <w:ilvl w:val="0"/>
          <w:numId w:val="2"/>
        </w:numPr>
        <w:spacing w:line="240" w:lineRule="auto"/>
        <w:rPr>
          <w:rFonts w:ascii="Century" w:hAnsi="Century"/>
          <w:sz w:val="24"/>
          <w:szCs w:val="24"/>
        </w:rPr>
      </w:pPr>
      <w:r w:rsidRPr="007E6F9E">
        <w:rPr>
          <w:rFonts w:ascii="Century" w:hAnsi="Century"/>
          <w:sz w:val="24"/>
          <w:szCs w:val="24"/>
        </w:rPr>
        <w:t>Staff pause their lessons to explicitly teach the numeracy embedded within their context.</w:t>
      </w:r>
    </w:p>
    <w:p w:rsidR="007C0F28" w:rsidRPr="007E6F9E" w:rsidRDefault="007C0F28" w:rsidP="007C0F28">
      <w:pPr>
        <w:pStyle w:val="ListParagraph"/>
        <w:spacing w:line="240" w:lineRule="auto"/>
        <w:rPr>
          <w:rFonts w:ascii="Century" w:hAnsi="Century"/>
          <w:sz w:val="24"/>
          <w:szCs w:val="24"/>
        </w:rPr>
      </w:pPr>
    </w:p>
    <w:p w:rsidR="00254290" w:rsidRPr="007E6F9E" w:rsidRDefault="00254290" w:rsidP="007C0F28">
      <w:pPr>
        <w:pStyle w:val="ListParagraph"/>
        <w:numPr>
          <w:ilvl w:val="0"/>
          <w:numId w:val="2"/>
        </w:numPr>
        <w:spacing w:line="240" w:lineRule="auto"/>
        <w:rPr>
          <w:rFonts w:ascii="Century" w:hAnsi="Century"/>
          <w:sz w:val="24"/>
          <w:szCs w:val="24"/>
        </w:rPr>
      </w:pPr>
      <w:r w:rsidRPr="007E6F9E">
        <w:rPr>
          <w:rFonts w:ascii="Century" w:hAnsi="Century"/>
          <w:sz w:val="24"/>
          <w:szCs w:val="24"/>
        </w:rPr>
        <w:t>The school continually looks for opportunities to build capacity within the staff to allow them to recognise numeracy demands and opportunities within the curriculum.</w:t>
      </w:r>
    </w:p>
    <w:p w:rsidR="007C0F28" w:rsidRPr="007E6F9E" w:rsidRDefault="007C0F28" w:rsidP="007C0F28">
      <w:pPr>
        <w:pStyle w:val="ListParagraph"/>
        <w:spacing w:line="240" w:lineRule="auto"/>
        <w:rPr>
          <w:rFonts w:ascii="Century" w:hAnsi="Century"/>
          <w:sz w:val="24"/>
          <w:szCs w:val="24"/>
        </w:rPr>
      </w:pPr>
    </w:p>
    <w:p w:rsidR="00254290" w:rsidRPr="007E6F9E" w:rsidRDefault="00254290" w:rsidP="007C0F28">
      <w:pPr>
        <w:pStyle w:val="ListParagraph"/>
        <w:numPr>
          <w:ilvl w:val="0"/>
          <w:numId w:val="2"/>
        </w:numPr>
        <w:spacing w:line="240" w:lineRule="auto"/>
        <w:rPr>
          <w:rFonts w:ascii="Century" w:hAnsi="Century"/>
          <w:sz w:val="24"/>
          <w:szCs w:val="24"/>
        </w:rPr>
      </w:pPr>
      <w:r w:rsidRPr="007E6F9E">
        <w:rPr>
          <w:rFonts w:ascii="Century" w:hAnsi="Century"/>
          <w:sz w:val="24"/>
          <w:szCs w:val="24"/>
        </w:rPr>
        <w:t>Teachers use numeracy data from NAPLAN and other sources as a catalyst for catering for individual numeracy needs within their learning area.</w:t>
      </w:r>
    </w:p>
    <w:p w:rsidR="007C0F28" w:rsidRPr="007E6F9E" w:rsidRDefault="007C0F28" w:rsidP="007C0F28">
      <w:pPr>
        <w:pStyle w:val="ListParagraph"/>
        <w:rPr>
          <w:rFonts w:ascii="Century" w:hAnsi="Century"/>
          <w:sz w:val="24"/>
          <w:szCs w:val="24"/>
        </w:rPr>
      </w:pPr>
    </w:p>
    <w:p w:rsidR="00254290" w:rsidRPr="007E6F9E" w:rsidRDefault="00254290" w:rsidP="00254290">
      <w:pPr>
        <w:rPr>
          <w:rFonts w:ascii="Century" w:hAnsi="Century"/>
          <w:b/>
          <w:sz w:val="24"/>
          <w:szCs w:val="24"/>
        </w:rPr>
      </w:pPr>
      <w:r w:rsidRPr="007E6F9E">
        <w:rPr>
          <w:rFonts w:ascii="Century" w:hAnsi="Century"/>
          <w:b/>
          <w:sz w:val="24"/>
          <w:szCs w:val="24"/>
        </w:rPr>
        <w:t>Goals</w:t>
      </w:r>
    </w:p>
    <w:p w:rsidR="00254290" w:rsidRPr="007E6F9E" w:rsidRDefault="00254290" w:rsidP="00254290">
      <w:pPr>
        <w:pStyle w:val="ListParagraph"/>
        <w:numPr>
          <w:ilvl w:val="0"/>
          <w:numId w:val="1"/>
        </w:numPr>
        <w:rPr>
          <w:rFonts w:ascii="Century" w:hAnsi="Century"/>
          <w:sz w:val="24"/>
          <w:szCs w:val="24"/>
        </w:rPr>
      </w:pPr>
      <w:r w:rsidRPr="007E6F9E">
        <w:rPr>
          <w:rFonts w:ascii="Century" w:hAnsi="Century"/>
          <w:sz w:val="24"/>
          <w:szCs w:val="24"/>
        </w:rPr>
        <w:t xml:space="preserve">Reduce the </w:t>
      </w:r>
      <w:r w:rsidR="00C13804" w:rsidRPr="007E6F9E">
        <w:rPr>
          <w:rFonts w:ascii="Century" w:hAnsi="Century"/>
          <w:sz w:val="24"/>
          <w:szCs w:val="24"/>
        </w:rPr>
        <w:t xml:space="preserve">proportion </w:t>
      </w:r>
      <w:r w:rsidRPr="007E6F9E">
        <w:rPr>
          <w:rFonts w:ascii="Century" w:hAnsi="Century"/>
          <w:sz w:val="24"/>
          <w:szCs w:val="24"/>
        </w:rPr>
        <w:t>number of students at or below the national minimum standard by 2.5%</w:t>
      </w:r>
      <w:r w:rsidR="00C13804" w:rsidRPr="007E6F9E">
        <w:rPr>
          <w:rFonts w:ascii="Century" w:hAnsi="Century"/>
          <w:sz w:val="24"/>
          <w:szCs w:val="24"/>
        </w:rPr>
        <w:t xml:space="preserve"> or more annually in numeracy</w:t>
      </w:r>
    </w:p>
    <w:p w:rsidR="00C13804" w:rsidRPr="007E6F9E" w:rsidRDefault="00C13804" w:rsidP="00254290">
      <w:pPr>
        <w:pStyle w:val="ListParagraph"/>
        <w:numPr>
          <w:ilvl w:val="0"/>
          <w:numId w:val="1"/>
        </w:numPr>
        <w:rPr>
          <w:rFonts w:ascii="Century" w:hAnsi="Century"/>
          <w:sz w:val="24"/>
          <w:szCs w:val="24"/>
        </w:rPr>
      </w:pPr>
      <w:r w:rsidRPr="007E6F9E">
        <w:rPr>
          <w:rFonts w:ascii="Century" w:hAnsi="Century"/>
          <w:sz w:val="24"/>
          <w:szCs w:val="24"/>
        </w:rPr>
        <w:t>Reduce the proportion of Aboriginal students at and below the national minimum standard by 2.5% or more annually in numeracy</w:t>
      </w:r>
    </w:p>
    <w:p w:rsidR="00C13804" w:rsidRPr="007E6F9E" w:rsidRDefault="00C13804" w:rsidP="00254290">
      <w:pPr>
        <w:pStyle w:val="ListParagraph"/>
        <w:numPr>
          <w:ilvl w:val="0"/>
          <w:numId w:val="1"/>
        </w:numPr>
        <w:rPr>
          <w:rFonts w:ascii="Century" w:hAnsi="Century"/>
          <w:sz w:val="24"/>
          <w:szCs w:val="24"/>
        </w:rPr>
      </w:pPr>
      <w:r w:rsidRPr="007E6F9E">
        <w:rPr>
          <w:rFonts w:ascii="Century" w:hAnsi="Century"/>
          <w:sz w:val="24"/>
          <w:szCs w:val="24"/>
        </w:rPr>
        <w:t>Increase the proportion of students above the state proficiency standard by 1.5% or more annually in numeracy</w:t>
      </w:r>
    </w:p>
    <w:p w:rsidR="00C13804" w:rsidRPr="007E6F9E" w:rsidRDefault="00C13804" w:rsidP="00C13804">
      <w:pPr>
        <w:pStyle w:val="ListParagraph"/>
        <w:numPr>
          <w:ilvl w:val="0"/>
          <w:numId w:val="1"/>
        </w:numPr>
        <w:rPr>
          <w:rFonts w:ascii="Century" w:hAnsi="Century"/>
          <w:sz w:val="24"/>
          <w:szCs w:val="24"/>
        </w:rPr>
      </w:pPr>
      <w:r w:rsidRPr="007E6F9E">
        <w:rPr>
          <w:rFonts w:ascii="Century" w:hAnsi="Century"/>
          <w:sz w:val="24"/>
          <w:szCs w:val="24"/>
        </w:rPr>
        <w:t>Increase the proportion of Aboriginal students above the state proficiency standard by 1.5% or more annually in numeracy</w:t>
      </w:r>
    </w:p>
    <w:p w:rsidR="007C0F28" w:rsidRPr="007E6F9E" w:rsidRDefault="007C0F28" w:rsidP="007C0F28">
      <w:pPr>
        <w:pStyle w:val="ListParagraph"/>
        <w:rPr>
          <w:rFonts w:ascii="Century" w:hAnsi="Century"/>
          <w:sz w:val="24"/>
          <w:szCs w:val="24"/>
        </w:rPr>
      </w:pPr>
    </w:p>
    <w:p w:rsidR="00254290" w:rsidRPr="007E6F9E" w:rsidRDefault="00254290" w:rsidP="00254290">
      <w:pPr>
        <w:rPr>
          <w:rFonts w:ascii="Century" w:hAnsi="Century"/>
          <w:b/>
          <w:sz w:val="24"/>
          <w:szCs w:val="24"/>
        </w:rPr>
      </w:pPr>
      <w:r w:rsidRPr="007E6F9E">
        <w:rPr>
          <w:rFonts w:ascii="Century" w:hAnsi="Century"/>
          <w:b/>
          <w:sz w:val="24"/>
          <w:szCs w:val="24"/>
        </w:rPr>
        <w:t>Strategies</w:t>
      </w:r>
    </w:p>
    <w:p w:rsidR="00254290" w:rsidRPr="007E6F9E" w:rsidRDefault="00254290" w:rsidP="00254290">
      <w:pPr>
        <w:rPr>
          <w:rFonts w:ascii="Century" w:hAnsi="Century"/>
          <w:sz w:val="24"/>
          <w:szCs w:val="24"/>
        </w:rPr>
      </w:pPr>
      <w:r w:rsidRPr="007E6F9E">
        <w:rPr>
          <w:rFonts w:ascii="Century" w:hAnsi="Century"/>
          <w:sz w:val="24"/>
          <w:szCs w:val="24"/>
        </w:rPr>
        <w:t>1.</w:t>
      </w:r>
      <w:r w:rsidRPr="007E6F9E">
        <w:rPr>
          <w:rFonts w:ascii="Century" w:hAnsi="Century"/>
          <w:sz w:val="24"/>
          <w:szCs w:val="24"/>
        </w:rPr>
        <w:tab/>
        <w:t>Test all Year 8 students and map against NAPLAN results</w:t>
      </w:r>
    </w:p>
    <w:p w:rsidR="00254290" w:rsidRPr="007E6F9E" w:rsidRDefault="00254290" w:rsidP="00254290">
      <w:pPr>
        <w:rPr>
          <w:rFonts w:ascii="Century" w:hAnsi="Century"/>
          <w:sz w:val="24"/>
          <w:szCs w:val="24"/>
        </w:rPr>
      </w:pPr>
      <w:r w:rsidRPr="007E6F9E">
        <w:rPr>
          <w:rFonts w:ascii="Century" w:hAnsi="Century"/>
          <w:sz w:val="24"/>
          <w:szCs w:val="24"/>
        </w:rPr>
        <w:t>2.</w:t>
      </w:r>
      <w:r w:rsidRPr="007E6F9E">
        <w:rPr>
          <w:rFonts w:ascii="Century" w:hAnsi="Century"/>
          <w:sz w:val="24"/>
          <w:szCs w:val="24"/>
        </w:rPr>
        <w:tab/>
        <w:t>Identify students who have specific numeracy issues</w:t>
      </w:r>
    </w:p>
    <w:p w:rsidR="00254290" w:rsidRPr="007E6F9E" w:rsidRDefault="00254290" w:rsidP="00254290">
      <w:pPr>
        <w:rPr>
          <w:rFonts w:ascii="Century" w:hAnsi="Century"/>
          <w:sz w:val="24"/>
          <w:szCs w:val="24"/>
        </w:rPr>
      </w:pPr>
      <w:r w:rsidRPr="007E6F9E">
        <w:rPr>
          <w:rFonts w:ascii="Century" w:hAnsi="Century"/>
          <w:sz w:val="24"/>
          <w:szCs w:val="24"/>
        </w:rPr>
        <w:t>3.</w:t>
      </w:r>
      <w:r w:rsidRPr="007E6F9E">
        <w:rPr>
          <w:rFonts w:ascii="Century" w:hAnsi="Century"/>
          <w:sz w:val="24"/>
          <w:szCs w:val="24"/>
        </w:rPr>
        <w:tab/>
        <w:t>Extra numeracy assistance for identified students (run via Maths lessons)</w:t>
      </w:r>
    </w:p>
    <w:p w:rsidR="00254290" w:rsidRPr="007E6F9E" w:rsidRDefault="00254290" w:rsidP="00254290">
      <w:pPr>
        <w:rPr>
          <w:rFonts w:ascii="Century" w:hAnsi="Century"/>
          <w:sz w:val="24"/>
          <w:szCs w:val="24"/>
        </w:rPr>
      </w:pPr>
      <w:r w:rsidRPr="007E6F9E">
        <w:rPr>
          <w:rFonts w:ascii="Century" w:hAnsi="Century"/>
          <w:sz w:val="24"/>
          <w:szCs w:val="24"/>
        </w:rPr>
        <w:t>4.</w:t>
      </w:r>
      <w:r w:rsidRPr="007E6F9E">
        <w:rPr>
          <w:rFonts w:ascii="Century" w:hAnsi="Century"/>
          <w:sz w:val="24"/>
          <w:szCs w:val="24"/>
        </w:rPr>
        <w:tab/>
        <w:t>Work with HTs to embed Numeracy into programs</w:t>
      </w:r>
    </w:p>
    <w:p w:rsidR="00254290" w:rsidRPr="007E6F9E" w:rsidRDefault="00254290" w:rsidP="00254290">
      <w:pPr>
        <w:rPr>
          <w:rFonts w:ascii="Century" w:hAnsi="Century"/>
          <w:sz w:val="24"/>
          <w:szCs w:val="24"/>
        </w:rPr>
      </w:pPr>
      <w:r w:rsidRPr="007E6F9E">
        <w:rPr>
          <w:rFonts w:ascii="Century" w:hAnsi="Century"/>
          <w:sz w:val="24"/>
          <w:szCs w:val="24"/>
        </w:rPr>
        <w:t>5.</w:t>
      </w:r>
      <w:r w:rsidRPr="007E6F9E">
        <w:rPr>
          <w:rFonts w:ascii="Century" w:hAnsi="Century"/>
          <w:sz w:val="24"/>
          <w:szCs w:val="24"/>
        </w:rPr>
        <w:tab/>
        <w:t>Extra-curricular Numeracy activities for Year 8 to be placed on Moodle</w:t>
      </w:r>
    </w:p>
    <w:p w:rsidR="00254290" w:rsidRPr="007E6F9E" w:rsidRDefault="00254290" w:rsidP="00254290">
      <w:pPr>
        <w:rPr>
          <w:rFonts w:ascii="Century" w:hAnsi="Century"/>
          <w:sz w:val="24"/>
          <w:szCs w:val="24"/>
        </w:rPr>
      </w:pPr>
      <w:r w:rsidRPr="007E6F9E">
        <w:rPr>
          <w:rFonts w:ascii="Century" w:hAnsi="Century"/>
          <w:sz w:val="24"/>
          <w:szCs w:val="24"/>
        </w:rPr>
        <w:t>6.</w:t>
      </w:r>
      <w:r w:rsidRPr="007E6F9E">
        <w:rPr>
          <w:rFonts w:ascii="Century" w:hAnsi="Century"/>
          <w:sz w:val="24"/>
          <w:szCs w:val="24"/>
        </w:rPr>
        <w:tab/>
        <w:t>On-line learning</w:t>
      </w:r>
    </w:p>
    <w:p w:rsidR="007C0F28" w:rsidRPr="007E6F9E" w:rsidRDefault="007C0F28" w:rsidP="007C0F28">
      <w:pPr>
        <w:ind w:left="709" w:hanging="709"/>
        <w:rPr>
          <w:rFonts w:ascii="Century" w:hAnsi="Century"/>
          <w:sz w:val="24"/>
          <w:szCs w:val="24"/>
        </w:rPr>
      </w:pPr>
      <w:r w:rsidRPr="007E6F9E">
        <w:rPr>
          <w:rFonts w:ascii="Century" w:hAnsi="Century"/>
          <w:sz w:val="24"/>
          <w:szCs w:val="24"/>
        </w:rPr>
        <w:t>7.</w:t>
      </w:r>
      <w:r w:rsidRPr="007E6F9E">
        <w:rPr>
          <w:rFonts w:ascii="Century" w:hAnsi="Century"/>
          <w:sz w:val="24"/>
          <w:szCs w:val="24"/>
        </w:rPr>
        <w:tab/>
        <w:t xml:space="preserve">Coordinate with feeder primary schools to assess new </w:t>
      </w:r>
      <w:proofErr w:type="gramStart"/>
      <w:r w:rsidRPr="007E6F9E">
        <w:rPr>
          <w:rFonts w:ascii="Century" w:hAnsi="Century"/>
          <w:sz w:val="24"/>
          <w:szCs w:val="24"/>
        </w:rPr>
        <w:t>students</w:t>
      </w:r>
      <w:proofErr w:type="gramEnd"/>
      <w:r w:rsidRPr="007E6F9E">
        <w:rPr>
          <w:rFonts w:ascii="Century" w:hAnsi="Century"/>
          <w:sz w:val="24"/>
          <w:szCs w:val="24"/>
        </w:rPr>
        <w:t xml:space="preserve"> level of numeracy along the continuum.</w:t>
      </w:r>
    </w:p>
    <w:p w:rsidR="00B93B5B" w:rsidRPr="007E6F9E" w:rsidRDefault="00B93B5B" w:rsidP="00254290">
      <w:pPr>
        <w:rPr>
          <w:rFonts w:ascii="Century" w:hAnsi="Century"/>
          <w:b/>
          <w:sz w:val="24"/>
          <w:szCs w:val="24"/>
        </w:rPr>
      </w:pPr>
      <w:r w:rsidRPr="007E6F9E">
        <w:rPr>
          <w:rFonts w:ascii="Century" w:hAnsi="Century"/>
          <w:b/>
          <w:sz w:val="24"/>
          <w:szCs w:val="24"/>
        </w:rPr>
        <w:lastRenderedPageBreak/>
        <w:t>Individual Learning Plans</w:t>
      </w:r>
    </w:p>
    <w:p w:rsidR="007C0F28" w:rsidRPr="007E6F9E" w:rsidRDefault="007C0F28" w:rsidP="00254290">
      <w:pPr>
        <w:rPr>
          <w:rFonts w:ascii="Century" w:hAnsi="Century"/>
          <w:sz w:val="24"/>
          <w:szCs w:val="24"/>
        </w:rPr>
      </w:pPr>
      <w:r w:rsidRPr="007E6F9E">
        <w:rPr>
          <w:rFonts w:ascii="Century" w:hAnsi="Century"/>
          <w:sz w:val="24"/>
          <w:szCs w:val="24"/>
        </w:rPr>
        <w:t>Selected students will be supported through the numeracy continuum via individual learning plans. These students will develop the basic skills of numeracy through an individualised process to suit their immediate needs.</w:t>
      </w:r>
    </w:p>
    <w:p w:rsidR="007C0F28" w:rsidRPr="007E6F9E" w:rsidRDefault="007C0F28" w:rsidP="00254290">
      <w:pPr>
        <w:rPr>
          <w:rFonts w:ascii="Century" w:hAnsi="Century"/>
          <w:sz w:val="24"/>
          <w:szCs w:val="24"/>
        </w:rPr>
      </w:pPr>
      <w:r w:rsidRPr="007E6F9E">
        <w:rPr>
          <w:rFonts w:ascii="Century" w:hAnsi="Century"/>
          <w:sz w:val="24"/>
          <w:szCs w:val="24"/>
        </w:rPr>
        <w:t>Skills include:</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Counting on</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Counting back</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Ten as a count</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Ten as a unit</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Jump method</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Split method</w:t>
      </w:r>
    </w:p>
    <w:p w:rsidR="007C0F28" w:rsidRPr="007E6F9E" w:rsidRDefault="007C0F28" w:rsidP="007C0F28">
      <w:pPr>
        <w:pStyle w:val="ListParagraph"/>
        <w:numPr>
          <w:ilvl w:val="0"/>
          <w:numId w:val="1"/>
        </w:numPr>
        <w:rPr>
          <w:rFonts w:ascii="Century" w:hAnsi="Century"/>
          <w:sz w:val="24"/>
          <w:szCs w:val="24"/>
        </w:rPr>
      </w:pPr>
      <w:r w:rsidRPr="007E6F9E">
        <w:rPr>
          <w:rFonts w:ascii="Century" w:hAnsi="Century"/>
          <w:sz w:val="24"/>
          <w:szCs w:val="24"/>
        </w:rPr>
        <w:t>Decimal place value</w:t>
      </w:r>
    </w:p>
    <w:p w:rsidR="007C0F28" w:rsidRPr="007E6F9E" w:rsidRDefault="007C0F28" w:rsidP="007C0F28">
      <w:pPr>
        <w:rPr>
          <w:rFonts w:ascii="Century" w:hAnsi="Century"/>
          <w:sz w:val="24"/>
          <w:szCs w:val="24"/>
        </w:rPr>
      </w:pPr>
    </w:p>
    <w:p w:rsidR="007E6F9E" w:rsidRDefault="007E6F9E" w:rsidP="007C0F28">
      <w:pPr>
        <w:rPr>
          <w:rFonts w:ascii="Century" w:hAnsi="Century"/>
          <w:b/>
          <w:sz w:val="24"/>
          <w:szCs w:val="24"/>
        </w:rPr>
      </w:pPr>
    </w:p>
    <w:p w:rsidR="007C0F28" w:rsidRPr="007E6F9E" w:rsidRDefault="007C0F28" w:rsidP="007C0F28">
      <w:pPr>
        <w:rPr>
          <w:rFonts w:ascii="Century" w:hAnsi="Century"/>
          <w:b/>
          <w:sz w:val="24"/>
          <w:szCs w:val="24"/>
        </w:rPr>
      </w:pPr>
      <w:r w:rsidRPr="007E6F9E">
        <w:rPr>
          <w:rFonts w:ascii="Century" w:hAnsi="Century"/>
          <w:b/>
          <w:sz w:val="24"/>
          <w:szCs w:val="24"/>
        </w:rPr>
        <w:t>ILNNP</w:t>
      </w:r>
    </w:p>
    <w:p w:rsidR="007C0F28" w:rsidRPr="007E6F9E" w:rsidRDefault="007C0F28" w:rsidP="007C0F28">
      <w:pPr>
        <w:rPr>
          <w:rFonts w:ascii="Century" w:hAnsi="Century"/>
          <w:sz w:val="24"/>
          <w:szCs w:val="24"/>
        </w:rPr>
      </w:pPr>
      <w:r w:rsidRPr="007E6F9E">
        <w:rPr>
          <w:rFonts w:ascii="Century" w:hAnsi="Century"/>
          <w:sz w:val="24"/>
          <w:szCs w:val="24"/>
        </w:rPr>
        <w:t>The Kotara High School numeracy policy is closely linked with the NSW Department of Education and Communities Numeracy Continuum. Major focus is on progressing students along the continuum, especially within the key aspects 2 and 4.</w:t>
      </w:r>
    </w:p>
    <w:p w:rsidR="007C0F28" w:rsidRDefault="007C0F28" w:rsidP="007C0F28">
      <w:pPr>
        <w:rPr>
          <w:rFonts w:ascii="Century" w:hAnsi="Century"/>
          <w:sz w:val="24"/>
          <w:szCs w:val="24"/>
        </w:rPr>
      </w:pPr>
      <w:r w:rsidRPr="007E6F9E">
        <w:rPr>
          <w:rFonts w:ascii="Century" w:hAnsi="Century"/>
          <w:sz w:val="24"/>
          <w:szCs w:val="24"/>
        </w:rPr>
        <w:t>Link to ILNNP:</w:t>
      </w:r>
    </w:p>
    <w:p w:rsidR="00BD4FCA" w:rsidRDefault="00BD4FCA" w:rsidP="007C0F28">
      <w:pPr>
        <w:rPr>
          <w:rFonts w:ascii="Century" w:hAnsi="Century"/>
          <w:sz w:val="24"/>
          <w:szCs w:val="24"/>
        </w:rPr>
      </w:pPr>
      <w:hyperlink r:id="rId13" w:history="1">
        <w:r w:rsidRPr="00851E29">
          <w:rPr>
            <w:rStyle w:val="Hyperlink"/>
            <w:rFonts w:ascii="Century" w:hAnsi="Century"/>
            <w:sz w:val="24"/>
            <w:szCs w:val="24"/>
          </w:rPr>
          <w:t>http://www.lowsesschools.nsw.edu.au/ilnnp/Home.aspx</w:t>
        </w:r>
      </w:hyperlink>
    </w:p>
    <w:p w:rsidR="00BD4FCA" w:rsidRPr="007E6F9E" w:rsidRDefault="00BD4FCA" w:rsidP="007C0F28">
      <w:pPr>
        <w:rPr>
          <w:rFonts w:ascii="Century" w:hAnsi="Century"/>
          <w:sz w:val="24"/>
          <w:szCs w:val="24"/>
        </w:rPr>
      </w:pPr>
      <w:bookmarkStart w:id="0" w:name="_GoBack"/>
      <w:bookmarkEnd w:id="0"/>
    </w:p>
    <w:p w:rsidR="007C0F28" w:rsidRPr="007C0F28" w:rsidRDefault="007C0F28" w:rsidP="007C0F28">
      <w:pPr>
        <w:rPr>
          <w:sz w:val="24"/>
          <w:szCs w:val="24"/>
        </w:rPr>
      </w:pPr>
    </w:p>
    <w:sectPr w:rsidR="007C0F28" w:rsidRPr="007C0F28" w:rsidSect="00774A99">
      <w:headerReference w:type="even" r:id="rId14"/>
      <w:headerReference w:type="default" r:id="rId15"/>
      <w:footerReference w:type="default" r:id="rId16"/>
      <w:headerReference w:type="first" r:id="rId1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28" w:rsidRDefault="007C0F28" w:rsidP="004802AA">
      <w:pPr>
        <w:spacing w:after="0" w:line="240" w:lineRule="auto"/>
      </w:pPr>
      <w:r>
        <w:separator/>
      </w:r>
    </w:p>
  </w:endnote>
  <w:endnote w:type="continuationSeparator" w:id="0">
    <w:p w:rsidR="007C0F28" w:rsidRDefault="007C0F28" w:rsidP="0048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Kotara High School Numeracy Policy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D4FCA" w:rsidRPr="00BD4FC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C0F28" w:rsidRDefault="007C0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28" w:rsidRDefault="007C0F28" w:rsidP="004802AA">
      <w:pPr>
        <w:spacing w:after="0" w:line="240" w:lineRule="auto"/>
      </w:pPr>
      <w:r>
        <w:separator/>
      </w:r>
    </w:p>
  </w:footnote>
  <w:footnote w:type="continuationSeparator" w:id="0">
    <w:p w:rsidR="007C0F28" w:rsidRDefault="007C0F28" w:rsidP="00480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3379" o:spid="_x0000_s2050" type="#_x0000_t75" style="position:absolute;margin-left:0;margin-top:0;width:451.15pt;height:337.8pt;z-index:-251657216;mso-position-horizontal:center;mso-position-horizontal-relative:margin;mso-position-vertical:center;mso-position-vertical-relative:margin" o:allowincell="f">
          <v:imagedata r:id="rId1" o:title="numbers 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3380" o:spid="_x0000_s2051" type="#_x0000_t75" style="position:absolute;margin-left:0;margin-top:0;width:451.15pt;height:337.8pt;z-index:-251656192;mso-position-horizontal:center;mso-position-horizontal-relative:margin;mso-position-vertical:center;mso-position-vertical-relative:margin" o:allowincell="f">
          <v:imagedata r:id="rId1" o:title="numbers 2"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28" w:rsidRDefault="007C0F28">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33378" o:spid="_x0000_s2049" type="#_x0000_t75" style="position:absolute;margin-left:0;margin-top:0;width:451.15pt;height:337.8pt;z-index:-251658240;mso-position-horizontal:center;mso-position-horizontal-relative:margin;mso-position-vertical:center;mso-position-vertical-relative:margin" o:allowincell="f">
          <v:imagedata r:id="rId1" o:title="numbers 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F36"/>
    <w:multiLevelType w:val="hybridMultilevel"/>
    <w:tmpl w:val="E3EED09E"/>
    <w:lvl w:ilvl="0" w:tplc="3132B5E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5E8332C"/>
    <w:multiLevelType w:val="hybridMultilevel"/>
    <w:tmpl w:val="94062CA6"/>
    <w:lvl w:ilvl="0" w:tplc="651696B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B9E"/>
    <w:rsid w:val="00254225"/>
    <w:rsid w:val="00254290"/>
    <w:rsid w:val="002642EC"/>
    <w:rsid w:val="00300046"/>
    <w:rsid w:val="004802AA"/>
    <w:rsid w:val="00724B9E"/>
    <w:rsid w:val="00774A99"/>
    <w:rsid w:val="007C0F28"/>
    <w:rsid w:val="007E6469"/>
    <w:rsid w:val="007E6F9E"/>
    <w:rsid w:val="008233BC"/>
    <w:rsid w:val="009B5A40"/>
    <w:rsid w:val="00B93B5B"/>
    <w:rsid w:val="00BA55E4"/>
    <w:rsid w:val="00BD4FCA"/>
    <w:rsid w:val="00C13804"/>
    <w:rsid w:val="00C74960"/>
    <w:rsid w:val="00C920F2"/>
    <w:rsid w:val="00DD12C2"/>
    <w:rsid w:val="00F11E92"/>
    <w:rsid w:val="00F455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290"/>
    <w:pPr>
      <w:ind w:left="720"/>
      <w:contextualSpacing/>
    </w:pPr>
  </w:style>
  <w:style w:type="paragraph" w:styleId="BalloonText">
    <w:name w:val="Balloon Text"/>
    <w:basedOn w:val="Normal"/>
    <w:link w:val="BalloonTextChar"/>
    <w:uiPriority w:val="99"/>
    <w:semiHidden/>
    <w:unhideWhenUsed/>
    <w:rsid w:val="00300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46"/>
    <w:rPr>
      <w:rFonts w:ascii="Tahoma" w:hAnsi="Tahoma" w:cs="Tahoma"/>
      <w:sz w:val="16"/>
      <w:szCs w:val="16"/>
    </w:rPr>
  </w:style>
  <w:style w:type="paragraph" w:styleId="Header">
    <w:name w:val="header"/>
    <w:basedOn w:val="Normal"/>
    <w:link w:val="HeaderChar"/>
    <w:uiPriority w:val="99"/>
    <w:unhideWhenUsed/>
    <w:rsid w:val="00480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2AA"/>
  </w:style>
  <w:style w:type="paragraph" w:styleId="Footer">
    <w:name w:val="footer"/>
    <w:basedOn w:val="Normal"/>
    <w:link w:val="FooterChar"/>
    <w:uiPriority w:val="99"/>
    <w:unhideWhenUsed/>
    <w:rsid w:val="00480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2AA"/>
  </w:style>
  <w:style w:type="character" w:styleId="Hyperlink">
    <w:name w:val="Hyperlink"/>
    <w:basedOn w:val="DefaultParagraphFont"/>
    <w:uiPriority w:val="99"/>
    <w:unhideWhenUsed/>
    <w:rsid w:val="00BD4F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290"/>
    <w:pPr>
      <w:ind w:left="720"/>
      <w:contextualSpacing/>
    </w:pPr>
  </w:style>
  <w:style w:type="paragraph" w:styleId="BalloonText">
    <w:name w:val="Balloon Text"/>
    <w:basedOn w:val="Normal"/>
    <w:link w:val="BalloonTextChar"/>
    <w:uiPriority w:val="99"/>
    <w:semiHidden/>
    <w:unhideWhenUsed/>
    <w:rsid w:val="00300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46"/>
    <w:rPr>
      <w:rFonts w:ascii="Tahoma" w:hAnsi="Tahoma" w:cs="Tahoma"/>
      <w:sz w:val="16"/>
      <w:szCs w:val="16"/>
    </w:rPr>
  </w:style>
  <w:style w:type="paragraph" w:styleId="Header">
    <w:name w:val="header"/>
    <w:basedOn w:val="Normal"/>
    <w:link w:val="HeaderChar"/>
    <w:uiPriority w:val="99"/>
    <w:unhideWhenUsed/>
    <w:rsid w:val="00480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2AA"/>
  </w:style>
  <w:style w:type="paragraph" w:styleId="Footer">
    <w:name w:val="footer"/>
    <w:basedOn w:val="Normal"/>
    <w:link w:val="FooterChar"/>
    <w:uiPriority w:val="99"/>
    <w:unhideWhenUsed/>
    <w:rsid w:val="00480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2AA"/>
  </w:style>
  <w:style w:type="character" w:styleId="Hyperlink">
    <w:name w:val="Hyperlink"/>
    <w:basedOn w:val="DefaultParagraphFont"/>
    <w:uiPriority w:val="99"/>
    <w:unhideWhenUsed/>
    <w:rsid w:val="00BD4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owsesschools.nsw.edu.au/ilnnp/Home.aspx"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Pulsford, Timothy</dc:creator>
  <cp:lastModifiedBy>Pulsford, Timothy</cp:lastModifiedBy>
  <cp:revision>4</cp:revision>
  <dcterms:created xsi:type="dcterms:W3CDTF">2013-10-17T05:33:00Z</dcterms:created>
  <dcterms:modified xsi:type="dcterms:W3CDTF">2013-10-17T05:34:00Z</dcterms:modified>
</cp:coreProperties>
</file>